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76" w:lineRule="auto"/>
        <w:contextualSpacing w:val="false"/>
        <w:jc w:val="center"/>
      </w:pPr>
      <w:r>
        <w:rPr/>
        <w:drawing>
          <wp:inline distB="0" distL="0" distR="0" distT="0">
            <wp:extent cx="504190" cy="6845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04190" cy="684530"/>
                    </a:xfrm>
                    <a:prstGeom prst="rect">
                      <a:avLst/>
                    </a:prstGeom>
                    <a:noFill/>
                    <a:ln w="9525">
                      <a:noFill/>
                      <a:miter lim="800000"/>
                      <a:headEnd/>
                      <a:tailEnd/>
                    </a:ln>
                  </pic:spPr>
                </pic:pic>
              </a:graphicData>
            </a:graphic>
          </wp:inline>
        </w:drawing>
      </w:r>
    </w:p>
    <w:p>
      <w:pPr>
        <w:pStyle w:val="style0"/>
        <w:spacing w:after="0" w:before="0" w:line="276" w:lineRule="auto"/>
        <w:contextualSpacing w:val="false"/>
        <w:jc w:val="center"/>
      </w:pPr>
      <w:r>
        <w:rPr>
          <w:rFonts w:ascii="Tahoma" w:cs="Tahoma" w:hAnsi="Tahoma"/>
          <w:b/>
          <w:bCs/>
          <w:color w:val="000000"/>
          <w:sz w:val="20"/>
          <w:szCs w:val="20"/>
          <w:u w:val="single"/>
        </w:rPr>
        <w:t>PODER JUDICIAL DE TUCUMÁN</w:t>
      </w:r>
    </w:p>
    <w:p>
      <w:pPr>
        <w:pStyle w:val="style0"/>
        <w:spacing w:after="0" w:before="0" w:line="276" w:lineRule="auto"/>
        <w:contextualSpacing w:val="false"/>
        <w:jc w:val="center"/>
      </w:pPr>
      <w:r>
        <w:rPr>
          <w:rFonts w:ascii="Tahoma" w:cs="Tahoma" w:hAnsi="Tahoma"/>
          <w:b/>
          <w:bCs/>
          <w:color w:val="000000"/>
          <w:sz w:val="20"/>
          <w:szCs w:val="20"/>
          <w:u w:val="single"/>
        </w:rPr>
        <w:t>PLIEGO UNICO DE BASES Y CONDICIONES GENERALES PARA</w:t>
      </w:r>
    </w:p>
    <w:p>
      <w:pPr>
        <w:pStyle w:val="style0"/>
        <w:spacing w:after="0" w:before="0" w:line="276" w:lineRule="auto"/>
        <w:contextualSpacing w:val="false"/>
        <w:jc w:val="center"/>
      </w:pPr>
      <w:r>
        <w:rPr>
          <w:rFonts w:ascii="Tahoma" w:cs="Tahoma" w:hAnsi="Tahoma"/>
          <w:b/>
          <w:bCs/>
          <w:color w:val="000000"/>
          <w:sz w:val="20"/>
          <w:szCs w:val="20"/>
          <w:u w:val="single"/>
        </w:rPr>
        <w:t>LICITACIONES DEL PODER JUDICIAL DE TUCUMAN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DISPOSICIONES GENERALES – ÁMBITO DE APLICACIÓN</w:t>
      </w:r>
    </w:p>
    <w:p>
      <w:pPr>
        <w:pStyle w:val="style0"/>
        <w:spacing w:after="0" w:before="0" w:line="276" w:lineRule="auto"/>
        <w:contextualSpacing w:val="false"/>
        <w:jc w:val="both"/>
      </w:pPr>
      <w:r>
        <w:rPr>
          <w:rFonts w:ascii="Tahoma" w:cs="Tahoma" w:hAnsi="Tahoma"/>
          <w:b/>
          <w:bCs/>
          <w:color w:val="000000"/>
          <w:sz w:val="20"/>
          <w:szCs w:val="20"/>
        </w:rPr>
        <w:t>Artículo  1º:</w:t>
      </w:r>
      <w:r>
        <w:rPr>
          <w:rFonts w:ascii="Tahoma" w:cs="Tahoma" w:hAnsi="Tahoma"/>
          <w:color w:val="000000"/>
          <w:sz w:val="20"/>
          <w:szCs w:val="20"/>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COMPUTOS DE LOS PLAZOS.</w:t>
      </w:r>
    </w:p>
    <w:p>
      <w:pPr>
        <w:pStyle w:val="style0"/>
        <w:spacing w:after="0" w:before="0" w:line="276" w:lineRule="auto"/>
        <w:contextualSpacing w:val="false"/>
        <w:jc w:val="both"/>
      </w:pPr>
      <w:r>
        <w:rPr>
          <w:rFonts w:ascii="Tahoma" w:cs="Tahoma" w:hAnsi="Tahoma"/>
          <w:b/>
          <w:bCs/>
          <w:color w:val="000000"/>
          <w:sz w:val="20"/>
          <w:szCs w:val="20"/>
        </w:rPr>
        <w:t>Articulo 2º:</w:t>
      </w:r>
      <w:r>
        <w:rPr>
          <w:rFonts w:ascii="Tahoma" w:cs="Tahoma" w:hAnsi="Tahoma"/>
          <w:color w:val="000000"/>
          <w:sz w:val="20"/>
          <w:szCs w:val="20"/>
        </w:rPr>
        <w:t xml:space="preserve"> Todos los plazos establecidos en el presente Pliego y demás normas generales o complementarias, se computarán en días hábiles administrativos, salvo expresa disposición en contrario.</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CONSULTAS</w:t>
      </w:r>
    </w:p>
    <w:p>
      <w:pPr>
        <w:pStyle w:val="style0"/>
        <w:spacing w:after="0" w:before="0" w:line="276" w:lineRule="auto"/>
        <w:contextualSpacing w:val="false"/>
        <w:jc w:val="both"/>
      </w:pPr>
      <w:r>
        <w:rPr>
          <w:rFonts w:ascii="Tahoma" w:cs="Tahoma" w:hAnsi="Tahoma"/>
          <w:b/>
          <w:bCs/>
          <w:color w:val="000000"/>
          <w:sz w:val="20"/>
          <w:szCs w:val="20"/>
        </w:rPr>
        <w:t>Artículo 3º:</w:t>
      </w:r>
      <w:r>
        <w:rPr>
          <w:rFonts w:ascii="Tahoma" w:cs="Tahoma" w:hAnsi="Tahoma"/>
          <w:color w:val="000000"/>
          <w:sz w:val="20"/>
          <w:szCs w:val="20"/>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EXIGENCIAS A CUMPLIR POR LOS OFERENTES</w:t>
      </w:r>
    </w:p>
    <w:p>
      <w:pPr>
        <w:pStyle w:val="style0"/>
        <w:spacing w:after="0" w:before="0" w:line="276" w:lineRule="auto"/>
        <w:contextualSpacing w:val="false"/>
        <w:jc w:val="both"/>
      </w:pPr>
      <w:r>
        <w:rPr>
          <w:rFonts w:ascii="Tahoma" w:cs="Tahoma" w:hAnsi="Tahoma"/>
          <w:b/>
          <w:bCs/>
          <w:color w:val="000000"/>
          <w:sz w:val="20"/>
          <w:szCs w:val="20"/>
        </w:rPr>
        <w:t>Artículo  4º:</w:t>
      </w:r>
      <w:r>
        <w:rPr>
          <w:rFonts w:ascii="Tahoma" w:cs="Tahoma" w:hAnsi="Tahoma"/>
          <w:color w:val="000000"/>
          <w:sz w:val="20"/>
          <w:szCs w:val="20"/>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 4537 y modificatorias.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PRESENTACION DE LAS PROPUESTAS, FORMALIDADES Y REQUISITOS</w:t>
      </w:r>
    </w:p>
    <w:p>
      <w:pPr>
        <w:pStyle w:val="style0"/>
        <w:spacing w:after="0" w:before="0" w:line="276" w:lineRule="auto"/>
        <w:contextualSpacing w:val="false"/>
        <w:jc w:val="both"/>
      </w:pPr>
      <w:r>
        <w:rPr>
          <w:rFonts w:ascii="Tahoma" w:cs="Tahoma" w:hAnsi="Tahoma"/>
          <w:b/>
          <w:bCs/>
          <w:color w:val="000000"/>
          <w:sz w:val="20"/>
          <w:szCs w:val="20"/>
        </w:rPr>
        <w:t>Artículo  5º:</w:t>
      </w:r>
      <w:r>
        <w:rPr>
          <w:rFonts w:ascii="Tahoma" w:cs="Tahoma" w:hAnsi="Tahoma"/>
          <w:color w:val="000000"/>
          <w:sz w:val="20"/>
          <w:szCs w:val="20"/>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caja o paquete debidamente cerrado. En el sobre, caja o paquete que contenga la propuesta deberá indicarse el número de la licitación y el nombre de la repartición licitante.</w:t>
      </w:r>
    </w:p>
    <w:p>
      <w:pPr>
        <w:pStyle w:val="style0"/>
        <w:spacing w:after="0" w:before="0" w:line="276" w:lineRule="auto"/>
        <w:contextualSpacing w:val="false"/>
        <w:jc w:val="both"/>
      </w:pPr>
      <w:r>
        <w:rPr>
          <w:rFonts w:ascii="Tahoma" w:cs="Tahoma" w:hAnsi="Tahoma"/>
          <w:b/>
          <w:bCs/>
          <w:color w:val="000000"/>
          <w:sz w:val="20"/>
          <w:szCs w:val="20"/>
        </w:rPr>
        <w:t>Artículo 6º:</w:t>
      </w:r>
      <w:r>
        <w:rPr>
          <w:rFonts w:ascii="Tahoma" w:cs="Tahoma" w:hAnsi="Tahoma"/>
          <w:color w:val="000000"/>
          <w:sz w:val="20"/>
          <w:szCs w:val="20"/>
        </w:rPr>
        <w:t xml:space="preserve"> Las propuestas se integrarán con:</w:t>
      </w:r>
    </w:p>
    <w:p>
      <w:pPr>
        <w:pStyle w:val="style0"/>
        <w:spacing w:after="0" w:before="0" w:line="276" w:lineRule="auto"/>
        <w:contextualSpacing w:val="false"/>
        <w:jc w:val="both"/>
      </w:pPr>
      <w:r>
        <w:rPr>
          <w:rFonts w:ascii="Tahoma" w:cs="Tahoma" w:hAnsi="Tahoma"/>
          <w:color w:val="000000"/>
          <w:sz w:val="20"/>
          <w:szCs w:val="20"/>
        </w:rPr>
        <w:t>1. La oferta económica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2. Los instrumentos de garantía respectivos.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3. La descripción o catálogo, si resultare pertinente.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4. El sellado de actuación que correspondiere, según la Ley Impositiva vigente.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5. El recibo de la muestra, cuando la presentación de la misma hubiera sido exigida.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7. El  certificado  de  libre  deuda  de  impuestos  provinciales  expedido  por  la  Dirección General de Rentas de la Provincia de Tucumán.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8. Demás documentación exigida en el pliego de bases y condiciones particulares.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Articulo  7º:</w:t>
      </w:r>
      <w:r>
        <w:rPr>
          <w:rFonts w:ascii="Tahoma" w:cs="Tahoma" w:hAnsi="Tahoma"/>
          <w:color w:val="000000"/>
          <w:sz w:val="20"/>
          <w:szCs w:val="20"/>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Artículo  8º</w:t>
      </w:r>
      <w:r>
        <w:rPr>
          <w:rFonts w:ascii="Tahoma" w:cs="Tahoma" w:hAnsi="Tahoma"/>
          <w:color w:val="000000"/>
          <w:sz w:val="20"/>
          <w:szCs w:val="20"/>
        </w:rPr>
        <w:t>: Si el Pliego de Bases y Condiciones Particulares no indica la forma en que se formulará la oferta, el proponente podrá hacerlo por renglón, y aún por parte de cada renglón.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Asimismo  podrá  realizar  otra  oferta  por  todo  lo  licitado  sobre  la  base  de  su  adjudicación íntegra.-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GARANTIAS</w:t>
      </w:r>
    </w:p>
    <w:p>
      <w:pPr>
        <w:pStyle w:val="style0"/>
        <w:spacing w:after="0" w:before="0" w:line="276" w:lineRule="auto"/>
        <w:ind w:hanging="0" w:left="0" w:right="283"/>
        <w:contextualSpacing w:val="false"/>
        <w:jc w:val="both"/>
      </w:pPr>
      <w:r>
        <w:rPr>
          <w:rFonts w:ascii="Tahoma" w:cs="Tahoma" w:hAnsi="Tahoma"/>
          <w:b/>
          <w:bCs/>
          <w:color w:val="000000"/>
          <w:sz w:val="20"/>
          <w:szCs w:val="20"/>
        </w:rPr>
        <w:t>Artículo 9:</w:t>
      </w:r>
    </w:p>
    <w:p>
      <w:pPr>
        <w:pStyle w:val="style0"/>
        <w:spacing w:after="0" w:before="0" w:line="276" w:lineRule="auto"/>
        <w:ind w:hanging="0" w:left="0" w:right="283"/>
        <w:contextualSpacing w:val="false"/>
        <w:jc w:val="both"/>
      </w:pPr>
      <w:r>
        <w:rPr>
          <w:rFonts w:ascii="Tahoma" w:cs="Tahoma" w:hAnsi="Tahoma"/>
          <w:b/>
          <w:bCs/>
          <w:color w:val="000000"/>
          <w:sz w:val="20"/>
          <w:szCs w:val="20"/>
        </w:rPr>
        <w:t xml:space="preserve">a) Garantía de mantenimiento de la Oferta:  </w:t>
      </w:r>
      <w:r>
        <w:rPr>
          <w:rFonts w:ascii="Tahoma" w:cs="Tahoma" w:hAnsi="Tahoma"/>
          <w:color w:val="000000"/>
          <w:sz w:val="20"/>
          <w:szCs w:val="20"/>
        </w:rPr>
        <w:t>Será el 4%</w:t>
      </w:r>
      <w:r>
        <w:rPr>
          <w:rFonts w:ascii="Tahoma" w:cs="Tahoma" w:hAnsi="Tahoma"/>
          <w:b/>
          <w:bCs/>
          <w:color w:val="000000"/>
          <w:sz w:val="20"/>
          <w:szCs w:val="20"/>
        </w:rPr>
        <w:t xml:space="preserve"> </w:t>
      </w:r>
      <w:r>
        <w:rPr>
          <w:rFonts w:ascii="Tahoma" w:cs="Tahoma" w:hAnsi="Tahoma"/>
          <w:color w:val="000000"/>
          <w:sz w:val="20"/>
          <w:szCs w:val="20"/>
        </w:rPr>
        <w:t xml:space="preserve">sobre el valor total de la oferta, calculado sobre el importe resultante de considerar el mayor valor cotizado por el proponente, deberá acompañarse con la propuesta. </w:t>
      </w:r>
    </w:p>
    <w:p>
      <w:pPr>
        <w:pStyle w:val="style0"/>
        <w:spacing w:after="0" w:before="0" w:line="276" w:lineRule="auto"/>
        <w:ind w:hanging="0" w:left="0" w:right="284"/>
        <w:contextualSpacing w:val="false"/>
        <w:jc w:val="both"/>
      </w:pPr>
      <w:r>
        <w:rPr>
          <w:rFonts w:ascii="Tahoma" w:cs="Tahoma" w:hAnsi="Tahoma"/>
          <w:color w:val="000000"/>
          <w:sz w:val="20"/>
          <w:szCs w:val="20"/>
        </w:rPr>
      </w:r>
    </w:p>
    <w:p>
      <w:pPr>
        <w:pStyle w:val="style0"/>
        <w:spacing w:after="0" w:before="0" w:line="276" w:lineRule="auto"/>
        <w:ind w:hanging="0" w:left="0" w:right="283"/>
        <w:contextualSpacing w:val="false"/>
        <w:jc w:val="both"/>
      </w:pPr>
      <w:r>
        <w:rPr>
          <w:rFonts w:ascii="Tahoma" w:cs="Tahoma" w:hAnsi="Tahoma"/>
          <w:b/>
          <w:bCs/>
          <w:color w:val="000000"/>
          <w:sz w:val="20"/>
          <w:szCs w:val="20"/>
        </w:rPr>
        <w:t xml:space="preserve">b) Garantía de ejecución del contrato: </w:t>
      </w:r>
      <w:r>
        <w:rPr>
          <w:rFonts w:ascii="Tahoma" w:cs="Tahoma" w:hAnsi="Tahoma"/>
          <w:color w:val="000000"/>
          <w:sz w:val="20"/>
          <w:szCs w:val="20"/>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entre las restantes ofertas admisibles que se hubieran mantenido, sin necesidad de realizar una nueva licitación.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Artículo 10º: Las garantías podrán constituirse de las siguientes formas:</w:t>
      </w:r>
    </w:p>
    <w:p>
      <w:pPr>
        <w:pStyle w:val="style0"/>
        <w:spacing w:after="0" w:before="0" w:line="276" w:lineRule="auto"/>
        <w:contextualSpacing w:val="false"/>
        <w:jc w:val="both"/>
      </w:pPr>
      <w:r>
        <w:rPr>
          <w:rFonts w:ascii="Tahoma" w:cs="Tahoma" w:hAnsi="Tahoma"/>
          <w:color w:val="000000"/>
          <w:sz w:val="20"/>
          <w:szCs w:val="20"/>
        </w:rPr>
        <w:t>a)  Mediante  depósito  en  la  institución  bancaria  que  actúa  como  agente  financiero  de  la Provincia,  haciéndose  referencia  a  la  licitación  pública  a  la  que  corresponde,  lo  que  se acreditará mediante presentación de la boleta respectiva.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w:t>
      </w:r>
    </w:p>
    <w:p>
      <w:pPr>
        <w:pStyle w:val="style0"/>
        <w:spacing w:after="0" w:before="0" w:line="276" w:lineRule="auto"/>
        <w:contextualSpacing w:val="false"/>
        <w:jc w:val="both"/>
      </w:pPr>
      <w:r>
        <w:rPr>
          <w:rFonts w:ascii="Tahoma" w:cs="Tahoma" w:hAnsi="Tahoma"/>
          <w:color w:val="000000"/>
          <w:sz w:val="20"/>
          <w:szCs w:val="20"/>
        </w:rPr>
        <w:t>Nº 2.013 del Código Civil, así como al beneficio de interpelación judicial previa.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Por razones debidamente fundadas en el expediente, el organismo contratante podrá restringir las formas de constitución de las garantías, en cuyo caso, el Pliego de Bases y Condiciones Particulares deberá indicar las formas admitidas.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Las   garantías   deben   constituirse   en   forma   independiente   para   cada   contratación,   no admitiéndose como tales, los créditos que el oferente tuviera contra el Estado Provincial ni las garantías de otras licitaciones.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MUESTRAS</w:t>
      </w:r>
    </w:p>
    <w:p>
      <w:pPr>
        <w:pStyle w:val="style0"/>
        <w:spacing w:after="0" w:before="0" w:line="276" w:lineRule="auto"/>
        <w:contextualSpacing w:val="false"/>
        <w:jc w:val="both"/>
      </w:pPr>
      <w:r>
        <w:rPr>
          <w:rFonts w:ascii="Tahoma" w:cs="Tahoma" w:hAnsi="Tahoma"/>
          <w:b/>
          <w:bCs/>
          <w:color w:val="000000"/>
          <w:sz w:val="20"/>
          <w:szCs w:val="20"/>
        </w:rPr>
        <w:t>Artículo  11º:</w:t>
      </w:r>
      <w:r>
        <w:rPr>
          <w:rFonts w:ascii="Tahoma" w:cs="Tahoma" w:hAnsi="Tahoma"/>
          <w:color w:val="000000"/>
          <w:sz w:val="20"/>
          <w:szCs w:val="20"/>
        </w:rPr>
        <w:t xml:space="preserve">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VISTA DE LAS ACTUACIONES - IMPUGNABILIDAD DE LAS OFERTAS</w:t>
      </w:r>
    </w:p>
    <w:p>
      <w:pPr>
        <w:pStyle w:val="style0"/>
        <w:spacing w:after="0" w:before="0" w:line="276" w:lineRule="auto"/>
        <w:contextualSpacing w:val="false"/>
        <w:jc w:val="both"/>
      </w:pPr>
      <w:r>
        <w:rPr>
          <w:rFonts w:ascii="Tahoma" w:cs="Tahoma" w:hAnsi="Tahoma"/>
          <w:b/>
          <w:bCs/>
          <w:color w:val="000000"/>
          <w:sz w:val="20"/>
          <w:szCs w:val="20"/>
        </w:rPr>
        <w:t>Articulo  12º:</w:t>
      </w:r>
      <w:r>
        <w:rPr>
          <w:rFonts w:ascii="Tahoma" w:cs="Tahoma" w:hAnsi="Tahoma"/>
          <w:color w:val="000000"/>
          <w:sz w:val="20"/>
          <w:szCs w:val="20"/>
        </w:rPr>
        <w:t xml:space="preserve">  Toda  persona  que  acredite  algún  interés,  podrá  en  cualquier  momento  tomar vista de las actuaciones referidas a una contratación, desde la apertura de las ofertas hasta la finalización del contrato, exceptuando la etapa de evaluación</w:t>
        <w:tab/>
        <w:t>de las ofertas. Las ofertas serán exhibidas a los oferentes por el término de tres (3) días hábiles, contados a partir  de  la  apertura,  quienes  podrán  solicitar  copias  a  su  costa.  Durante  este  plazo  los proponentes  podrán  realizar  observaciones  e  impugnaciones,  las  que  serán  evaluadas  por  la comisión de preadjudicación.</w:t>
      </w:r>
    </w:p>
    <w:p>
      <w:pPr>
        <w:pStyle w:val="style0"/>
        <w:spacing w:after="0" w:before="0" w:line="276" w:lineRule="auto"/>
        <w:contextualSpacing w:val="false"/>
        <w:jc w:val="both"/>
      </w:pPr>
      <w:r>
        <w:rPr>
          <w:rFonts w:ascii="Tahoma" w:cs="Tahoma" w:hAnsi="Tahoma"/>
          <w:color w:val="000000"/>
          <w:sz w:val="20"/>
          <w:szCs w:val="20"/>
        </w:rPr>
        <w:t>La negativa a dar vista de las actuaciones se considerará falta grave del funcionario o agente al que corresponda otorgarla.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INADMISIBILIDAD DE LAS PROPUESTAS.</w:t>
      </w:r>
    </w:p>
    <w:p>
      <w:pPr>
        <w:pStyle w:val="style0"/>
        <w:spacing w:after="0" w:before="0" w:line="276" w:lineRule="auto"/>
        <w:contextualSpacing w:val="false"/>
        <w:jc w:val="both"/>
      </w:pPr>
      <w:r>
        <w:rPr>
          <w:rFonts w:ascii="Tahoma" w:cs="Tahoma" w:hAnsi="Tahoma"/>
          <w:b/>
          <w:bCs/>
          <w:color w:val="000000"/>
          <w:sz w:val="20"/>
          <w:szCs w:val="20"/>
        </w:rPr>
        <w:t>Artículo 13º:</w:t>
      </w:r>
      <w:r>
        <w:rPr>
          <w:rFonts w:ascii="Tahoma" w:cs="Tahoma" w:hAnsi="Tahoma"/>
          <w:color w:val="000000"/>
          <w:sz w:val="20"/>
          <w:szCs w:val="20"/>
        </w:rPr>
        <w:t xml:space="preserve"> Serán causa insubsanable de inadmisibilidad de las propuestas, las siguientes: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a.- La existencia de enmiendas, interlíneas, testaciones y/o raspaduras que no hayan sido debidamente  salvadas  en  la  propuesta  económica,  que  versen  sobre  cuestiones  de fondo  y  no  de  forma,  quedando  esta  interpretación  a  cargo  de  la  comisión  de preadjudicación.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d.-  La falta de firma del oferente o su representante legal en la propuesta económica.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ADJUDICACION</w:t>
      </w:r>
    </w:p>
    <w:p>
      <w:pPr>
        <w:pStyle w:val="style0"/>
        <w:spacing w:after="0" w:before="0" w:line="276" w:lineRule="auto"/>
        <w:contextualSpacing w:val="false"/>
        <w:jc w:val="both"/>
      </w:pPr>
      <w:r>
        <w:rPr>
          <w:rFonts w:ascii="Tahoma" w:cs="Tahoma" w:hAnsi="Tahoma"/>
          <w:b/>
          <w:bCs/>
          <w:color w:val="000000"/>
          <w:sz w:val="20"/>
          <w:szCs w:val="20"/>
        </w:rPr>
        <w:t>Artículo  14º:</w:t>
      </w:r>
      <w:r>
        <w:rPr>
          <w:rFonts w:ascii="Tahoma" w:cs="Tahoma" w:hAnsi="Tahoma"/>
          <w:color w:val="000000"/>
          <w:sz w:val="20"/>
          <w:szCs w:val="20"/>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Artículo  15º:</w:t>
      </w:r>
      <w:r>
        <w:rPr>
          <w:rFonts w:ascii="Tahoma" w:cs="Tahoma" w:hAnsi="Tahoma"/>
          <w:color w:val="000000"/>
          <w:sz w:val="20"/>
          <w:szCs w:val="20"/>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CONTRATO</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Artículo  16º:</w:t>
      </w:r>
      <w:r>
        <w:rPr>
          <w:rFonts w:ascii="Tahoma" w:cs="Tahoma" w:hAnsi="Tahoma"/>
          <w:color w:val="000000"/>
          <w:sz w:val="20"/>
          <w:szCs w:val="20"/>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ORDEN DE PRELACIÓN</w:t>
      </w:r>
    </w:p>
    <w:p>
      <w:pPr>
        <w:pStyle w:val="style0"/>
        <w:spacing w:after="0" w:before="0" w:line="276" w:lineRule="auto"/>
        <w:contextualSpacing w:val="false"/>
        <w:jc w:val="both"/>
      </w:pPr>
      <w:r>
        <w:rPr>
          <w:rFonts w:ascii="Tahoma" w:cs="Tahoma" w:hAnsi="Tahoma"/>
          <w:b/>
          <w:bCs/>
          <w:color w:val="000000"/>
          <w:sz w:val="20"/>
          <w:szCs w:val="20"/>
        </w:rPr>
        <w:t>Artículo  17°:</w:t>
      </w:r>
      <w:r>
        <w:rPr>
          <w:rFonts w:ascii="Tahoma" w:cs="Tahoma" w:hAnsi="Tahoma"/>
          <w:color w:val="000000"/>
          <w:sz w:val="20"/>
          <w:szCs w:val="20"/>
        </w:rPr>
        <w:t xml:space="preserve">  Todos  los  documentos  que  integran  el  contrato  serán  considerados  como recíprocamente explicativos. En caso de existir discrepancias entre los referidos documentos, regirá el siguiente orden de prelación:</w:t>
      </w:r>
    </w:p>
    <w:p>
      <w:pPr>
        <w:pStyle w:val="style0"/>
        <w:spacing w:after="0" w:before="0" w:line="276" w:lineRule="auto"/>
        <w:contextualSpacing w:val="false"/>
        <w:jc w:val="both"/>
      </w:pPr>
      <w:r>
        <w:rPr>
          <w:rFonts w:ascii="Tahoma" w:cs="Tahoma" w:hAnsi="Tahoma"/>
          <w:color w:val="000000"/>
          <w:sz w:val="20"/>
          <w:szCs w:val="20"/>
        </w:rPr>
        <w:t>a) Ley de Administración Financiera N° 6970.-</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b)  Las  disposiciones  del  Reglamento  de  Compras  y  Contrataciones  del  Estado  Provincial</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c) El presente Pliego Único de Bases y Condiciones Generales.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d) El Pliego de Bases y Condiciones Particulares.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e) La oferta y las muestras que se hubieren acompañado.</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f) El acto administrativo de adjudicación.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g) La orden de compra.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COMPETENCIA JUDICIAL</w:t>
      </w:r>
    </w:p>
    <w:p>
      <w:pPr>
        <w:pStyle w:val="style0"/>
        <w:spacing w:after="0" w:before="0" w:line="276" w:lineRule="auto"/>
        <w:contextualSpacing w:val="false"/>
        <w:jc w:val="both"/>
      </w:pPr>
      <w:r>
        <w:rPr>
          <w:rFonts w:ascii="Tahoma" w:cs="Tahoma" w:hAnsi="Tahoma"/>
          <w:b/>
          <w:bCs/>
          <w:color w:val="000000"/>
          <w:sz w:val="20"/>
          <w:szCs w:val="20"/>
        </w:rPr>
        <w:t>Artículo 18º:</w:t>
      </w:r>
      <w:r>
        <w:rPr>
          <w:rFonts w:ascii="Tahoma" w:cs="Tahoma" w:hAnsi="Tahoma"/>
          <w:color w:val="000000"/>
          <w:sz w:val="20"/>
          <w:szCs w:val="20"/>
        </w:rPr>
        <w:t xml:space="preserve"> Ante cualquier divergencia que pudiera suscitarse, las partes quedan sometidas a la competencia de los Tribunales ordinarios de San Miguel de Tucumán, renunciando a cualquier otro fuero o jurisdicción.</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CLÁUSULA ANTICORRUPCIÓN</w:t>
      </w:r>
    </w:p>
    <w:p>
      <w:pPr>
        <w:pStyle w:val="style0"/>
        <w:spacing w:after="0" w:before="0" w:line="276" w:lineRule="auto"/>
        <w:ind w:hanging="0" w:left="0" w:right="283"/>
        <w:contextualSpacing w:val="false"/>
        <w:jc w:val="both"/>
      </w:pPr>
      <w:r>
        <w:rPr>
          <w:rFonts w:ascii="Tahoma" w:cs="Tahoma" w:hAnsi="Tahoma"/>
          <w:b/>
          <w:bCs/>
          <w:color w:val="000000"/>
          <w:sz w:val="20"/>
          <w:szCs w:val="20"/>
        </w:rPr>
        <w:t xml:space="preserve">Artículo 19°: </w:t>
      </w:r>
      <w:r>
        <w:rPr>
          <w:rFonts w:ascii="Tahoma" w:cs="Tahoma" w:hAnsi="Tahoma"/>
          <w:color w:val="000000"/>
          <w:sz w:val="20"/>
          <w:szCs w:val="20"/>
        </w:rPr>
        <w:t>Será causal determinante del rechazo sin más trámite de la propuesta u oferta en cualquier estado de la licitación, o de la rescisión de pleno derecho del contrato, dar u ofrecer dinero o cualquier otra dádiva a fin de que:</w:t>
      </w:r>
    </w:p>
    <w:p>
      <w:pPr>
        <w:pStyle w:val="style0"/>
        <w:spacing w:after="0" w:before="0" w:line="276" w:lineRule="auto"/>
        <w:ind w:hanging="0" w:left="0" w:right="283"/>
        <w:contextualSpacing w:val="false"/>
        <w:jc w:val="both"/>
      </w:pPr>
      <w:r>
        <w:rPr>
          <w:rFonts w:ascii="Tahoma" w:cs="Tahoma" w:hAnsi="Tahoma"/>
          <w:color w:val="000000"/>
          <w:sz w:val="20"/>
          <w:szCs w:val="20"/>
        </w:rPr>
      </w:r>
    </w:p>
    <w:p>
      <w:pPr>
        <w:pStyle w:val="style0"/>
        <w:spacing w:after="0" w:before="0" w:line="276" w:lineRule="auto"/>
        <w:ind w:hanging="0" w:left="0" w:right="284"/>
        <w:contextualSpacing w:val="false"/>
        <w:jc w:val="both"/>
      </w:pPr>
      <w:r>
        <w:rPr>
          <w:rFonts w:ascii="Tahoma" w:cs="Tahoma" w:hAnsi="Tahoma"/>
          <w:color w:val="000000"/>
          <w:sz w:val="20"/>
          <w:szCs w:val="20"/>
        </w:rPr>
        <w:t>a) Funcionarios o empleados públicos con competencia referida a esta licitación o contrato hagan o dejen de hacer algo relativo a sus funciones.</w:t>
      </w:r>
    </w:p>
    <w:p>
      <w:pPr>
        <w:pStyle w:val="style0"/>
        <w:spacing w:after="0" w:before="0" w:line="276" w:lineRule="auto"/>
        <w:contextualSpacing w:val="false"/>
        <w:jc w:val="both"/>
      </w:pPr>
      <w:r>
        <w:rPr>
          <w:rFonts w:ascii="Tahoma" w:cs="Tahoma" w:hAnsi="Tahoma"/>
          <w:color w:val="000000"/>
          <w:sz w:val="20"/>
          <w:szCs w:val="20"/>
        </w:rPr>
        <w:t>b)  Hagan  valer  la  influencia  de  su  cargo  ante  otro  funcionario  o  empleado  público  con  la competencia descripta, a fin de que estos hagan o dejen de hacer algo relativo a sus funciones.</w:t>
      </w:r>
    </w:p>
    <w:p>
      <w:pPr>
        <w:pStyle w:val="style0"/>
        <w:spacing w:after="0" w:before="0" w:line="276" w:lineRule="auto"/>
        <w:contextualSpacing w:val="false"/>
        <w:jc w:val="both"/>
      </w:pPr>
      <w:r>
        <w:rPr>
          <w:rFonts w:ascii="Tahoma" w:cs="Tahoma" w:hAnsi="Tahoma"/>
          <w:color w:val="000000"/>
          <w:sz w:val="20"/>
          <w:szCs w:val="20"/>
        </w:rPr>
        <w:t>c)  Cualquier  persona  haga  valer  su  relación  o  influencia  sobre  un  funcionario  o  empleado público con la competencia descripta, a fin de que estos hagan o dejen de hacer algo relativo a sus funciones.</w:t>
      </w:r>
    </w:p>
    <w:p>
      <w:pPr>
        <w:pStyle w:val="style0"/>
        <w:spacing w:after="0" w:before="0" w:line="276" w:lineRule="auto"/>
        <w:contextualSpacing w:val="false"/>
        <w:jc w:val="both"/>
      </w:pPr>
      <w:r>
        <w:rPr>
          <w:rFonts w:ascii="Tahoma" w:cs="Tahoma" w:hAnsi="Tahoma"/>
          <w:color w:val="000000"/>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pPr>
        <w:pStyle w:val="style0"/>
        <w:spacing w:after="0" w:before="0" w:line="276" w:lineRule="auto"/>
        <w:contextualSpacing w:val="false"/>
        <w:jc w:val="both"/>
      </w:pPr>
      <w:r>
        <w:rPr>
          <w:rFonts w:ascii="Tahoma" w:cs="Tahoma" w:hAnsi="Tahoma"/>
          <w:color w:val="000000"/>
          <w:sz w:val="20"/>
          <w:szCs w:val="20"/>
        </w:rPr>
        <w:t>Las   consecuencias   de   estas   conductas   ilícitas   se   producirán   aún   cuando   se   hubieran consumado en grado de tentativa.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DE LAS SANCIONES</w:t>
      </w:r>
    </w:p>
    <w:p>
      <w:pPr>
        <w:pStyle w:val="style0"/>
        <w:spacing w:after="0" w:before="0" w:line="276" w:lineRule="auto"/>
        <w:contextualSpacing w:val="false"/>
        <w:jc w:val="both"/>
      </w:pPr>
      <w:r>
        <w:rPr>
          <w:rFonts w:ascii="Tahoma" w:cs="Tahoma" w:hAnsi="Tahoma"/>
          <w:b/>
          <w:bCs/>
          <w:color w:val="000000"/>
          <w:sz w:val="20"/>
          <w:szCs w:val="20"/>
        </w:rPr>
        <w:t>Artículo  20º:</w:t>
      </w:r>
      <w:r>
        <w:rPr>
          <w:rFonts w:ascii="Tahoma" w:cs="Tahoma" w:hAnsi="Tahoma"/>
          <w:color w:val="000000"/>
          <w:sz w:val="20"/>
          <w:szCs w:val="20"/>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AFECTACION DE CREDITOS</w:t>
      </w:r>
    </w:p>
    <w:p>
      <w:pPr>
        <w:pStyle w:val="style0"/>
        <w:spacing w:after="0" w:before="0" w:line="276" w:lineRule="auto"/>
        <w:contextualSpacing w:val="false"/>
        <w:jc w:val="both"/>
      </w:pPr>
      <w:r>
        <w:rPr>
          <w:rFonts w:ascii="Tahoma" w:cs="Tahoma" w:hAnsi="Tahoma"/>
          <w:b/>
          <w:bCs/>
          <w:color w:val="000000"/>
          <w:sz w:val="20"/>
          <w:szCs w:val="20"/>
        </w:rPr>
        <w:t>Artículo  21:</w:t>
      </w:r>
      <w:r>
        <w:rPr>
          <w:rFonts w:ascii="Tahoma" w:cs="Tahoma" w:hAnsi="Tahoma"/>
          <w:color w:val="000000"/>
          <w:sz w:val="20"/>
          <w:szCs w:val="20"/>
        </w:rPr>
        <w:t xml:space="preserve"> Las derechos y créditos a favor de la adjudicataria, se afectarán al cobro de las multas, en el orden siguiente:</w:t>
      </w:r>
    </w:p>
    <w:p>
      <w:pPr>
        <w:pStyle w:val="style0"/>
        <w:spacing w:after="0" w:before="0" w:line="276" w:lineRule="auto"/>
        <w:contextualSpacing w:val="false"/>
        <w:jc w:val="both"/>
      </w:pPr>
      <w:r>
        <w:rPr>
          <w:rFonts w:ascii="Tahoma" w:cs="Tahoma" w:hAnsi="Tahoma"/>
          <w:color w:val="000000"/>
          <w:sz w:val="20"/>
          <w:szCs w:val="20"/>
        </w:rPr>
        <w:t xml:space="preserve">a) Las facturas emergentes del contrato, que estén al cobro o en trámite. </w:t>
      </w:r>
    </w:p>
    <w:p>
      <w:pPr>
        <w:pStyle w:val="style0"/>
        <w:spacing w:after="0" w:before="0" w:line="276" w:lineRule="auto"/>
        <w:contextualSpacing w:val="false"/>
        <w:jc w:val="both"/>
      </w:pPr>
      <w:r>
        <w:rPr>
          <w:rFonts w:ascii="Tahoma" w:cs="Tahoma" w:hAnsi="Tahoma"/>
          <w:color w:val="000000"/>
          <w:sz w:val="20"/>
          <w:szCs w:val="20"/>
        </w:rPr>
        <w:t>b) Las garantías constituidas.</w:t>
      </w:r>
    </w:p>
    <w:p>
      <w:pPr>
        <w:pStyle w:val="style0"/>
        <w:spacing w:after="0" w:before="0" w:line="276" w:lineRule="auto"/>
        <w:contextualSpacing w:val="false"/>
        <w:jc w:val="both"/>
      </w:pPr>
      <w:r>
        <w:rPr>
          <w:rFonts w:ascii="Tahoma" w:cs="Tahoma" w:hAnsi="Tahoma"/>
          <w:color w:val="000000"/>
          <w:sz w:val="20"/>
          <w:szCs w:val="20"/>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b/>
          <w:bCs/>
          <w:color w:val="000000"/>
          <w:sz w:val="20"/>
          <w:szCs w:val="20"/>
        </w:rPr>
        <w:t>REQUISITOS  MINIMOS  QUE  DEBEN  CONTENER  LOS  PLIEGOS  DE  BASES  Y CONDICIONES PARTICULARES.</w:t>
      </w:r>
    </w:p>
    <w:p>
      <w:pPr>
        <w:pStyle w:val="style0"/>
        <w:spacing w:after="0" w:before="0" w:line="276" w:lineRule="auto"/>
        <w:contextualSpacing w:val="false"/>
        <w:jc w:val="both"/>
      </w:pPr>
      <w:r>
        <w:rPr>
          <w:rFonts w:ascii="Tahoma" w:cs="Tahoma" w:hAnsi="Tahoma"/>
          <w:b/>
          <w:bCs/>
          <w:color w:val="000000"/>
          <w:sz w:val="20"/>
          <w:szCs w:val="20"/>
        </w:rPr>
        <w:t>Artículo  22º:</w:t>
      </w:r>
      <w:r>
        <w:rPr>
          <w:rFonts w:ascii="Tahoma" w:cs="Tahoma" w:hAnsi="Tahoma"/>
          <w:color w:val="000000"/>
          <w:sz w:val="20"/>
          <w:szCs w:val="20"/>
        </w:rPr>
        <w:t xml:space="preserve">  En  los  Pliegos  de  Bases  y  Condiciones  Particulares  deberán  indicarse  los  siguientes requisitos esenciales: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 xml:space="preserve">I) Nombre del Organismo contratante. </w:t>
      </w:r>
    </w:p>
    <w:p>
      <w:pPr>
        <w:pStyle w:val="style0"/>
        <w:spacing w:after="0" w:before="0" w:line="276" w:lineRule="auto"/>
        <w:contextualSpacing w:val="false"/>
        <w:jc w:val="both"/>
      </w:pPr>
      <w:r>
        <w:rPr>
          <w:rFonts w:ascii="Tahoma" w:cs="Tahoma" w:hAnsi="Tahoma"/>
          <w:color w:val="000000"/>
          <w:sz w:val="20"/>
          <w:szCs w:val="20"/>
        </w:rPr>
        <w:t>II) Objeto de la contratación.</w:t>
      </w:r>
    </w:p>
    <w:p>
      <w:pPr>
        <w:pStyle w:val="style0"/>
        <w:spacing w:after="0" w:before="0" w:line="276" w:lineRule="auto"/>
        <w:contextualSpacing w:val="false"/>
        <w:jc w:val="both"/>
      </w:pPr>
      <w:r>
        <w:rPr>
          <w:rFonts w:ascii="Tahoma" w:cs="Tahoma" w:hAnsi="Tahoma"/>
          <w:color w:val="000000"/>
          <w:sz w:val="20"/>
          <w:szCs w:val="20"/>
        </w:rPr>
        <w:t xml:space="preserve">III) Número de expediente, y número de licitación. </w:t>
      </w:r>
    </w:p>
    <w:p>
      <w:pPr>
        <w:pStyle w:val="style0"/>
        <w:spacing w:after="0" w:before="0" w:line="276" w:lineRule="auto"/>
        <w:contextualSpacing w:val="false"/>
        <w:jc w:val="both"/>
      </w:pPr>
      <w:r>
        <w:rPr>
          <w:rFonts w:ascii="Tahoma" w:cs="Tahoma" w:hAnsi="Tahoma"/>
          <w:color w:val="000000"/>
          <w:sz w:val="20"/>
          <w:szCs w:val="20"/>
        </w:rPr>
        <w:t>IV) Valor del pliego si correspondiere.</w:t>
      </w:r>
    </w:p>
    <w:p>
      <w:pPr>
        <w:pStyle w:val="style0"/>
        <w:spacing w:after="0" w:before="0" w:line="276" w:lineRule="auto"/>
        <w:contextualSpacing w:val="false"/>
        <w:jc w:val="both"/>
      </w:pPr>
      <w:r>
        <w:rPr>
          <w:rFonts w:ascii="Tahoma" w:cs="Tahoma" w:hAnsi="Tahoma"/>
          <w:color w:val="000000"/>
          <w:sz w:val="20"/>
          <w:szCs w:val="20"/>
        </w:rPr>
        <w:t>V)   Plazo de mantenimiento de la propuesta.</w:t>
      </w:r>
    </w:p>
    <w:p>
      <w:pPr>
        <w:pStyle w:val="style0"/>
        <w:spacing w:after="0" w:before="0" w:line="276" w:lineRule="auto"/>
        <w:contextualSpacing w:val="false"/>
        <w:jc w:val="both"/>
      </w:pPr>
      <w:r>
        <w:rPr>
          <w:rFonts w:ascii="Tahoma" w:cs="Tahoma" w:hAnsi="Tahoma"/>
          <w:color w:val="000000"/>
          <w:sz w:val="20"/>
          <w:szCs w:val="20"/>
        </w:rPr>
        <w:t>VI)  Plazo, lugar, y forma de entrega de los bienes o de la prestación de los servicios.</w:t>
      </w:r>
    </w:p>
    <w:p>
      <w:pPr>
        <w:pStyle w:val="style0"/>
        <w:spacing w:after="0" w:before="0" w:line="276" w:lineRule="auto"/>
        <w:contextualSpacing w:val="false"/>
        <w:jc w:val="both"/>
      </w:pPr>
      <w:r>
        <w:rPr>
          <w:rFonts w:ascii="Tahoma" w:cs="Tahoma" w:hAnsi="Tahoma"/>
          <w:color w:val="000000"/>
          <w:sz w:val="20"/>
          <w:szCs w:val="20"/>
        </w:rPr>
        <w:t>VII) Especificaciones técnicas, las que deberán  consignar en forma clara e inconfundible:</w:t>
      </w:r>
    </w:p>
    <w:p>
      <w:pPr>
        <w:pStyle w:val="style0"/>
        <w:spacing w:after="0" w:before="0" w:line="276" w:lineRule="auto"/>
        <w:contextualSpacing w:val="false"/>
        <w:jc w:val="both"/>
      </w:pPr>
      <w:r>
        <w:rPr>
          <w:rFonts w:ascii="Tahoma" w:cs="Tahoma" w:hAnsi="Tahoma"/>
          <w:color w:val="000000"/>
          <w:sz w:val="20"/>
          <w:szCs w:val="20"/>
        </w:rPr>
        <w:t>a) Las características y especies de la prestación.</w:t>
      </w:r>
    </w:p>
    <w:p>
      <w:pPr>
        <w:pStyle w:val="style0"/>
        <w:spacing w:after="0" w:before="0" w:line="276" w:lineRule="auto"/>
        <w:contextualSpacing w:val="false"/>
        <w:jc w:val="both"/>
      </w:pPr>
      <w:r>
        <w:rPr>
          <w:rFonts w:ascii="Tahoma" w:cs="Tahoma" w:hAnsi="Tahoma"/>
          <w:color w:val="000000"/>
          <w:sz w:val="20"/>
          <w:szCs w:val="20"/>
        </w:rPr>
        <w:t>b) La calidad exigida, cuando se considere pertinente y, en su caso, las normas de calidad que deben cumplir los bienes o servicios, determinando si los elementos deben ser nuevos, usados o reacondicionados.</w:t>
      </w:r>
    </w:p>
    <w:p>
      <w:pPr>
        <w:pStyle w:val="style0"/>
        <w:spacing w:after="0" w:before="0" w:line="276" w:lineRule="auto"/>
        <w:contextualSpacing w:val="false"/>
        <w:jc w:val="both"/>
      </w:pPr>
      <w:r>
        <w:rPr>
          <w:rFonts w:ascii="Tahoma" w:cs="Tahoma" w:hAnsi="Tahoma"/>
          <w:color w:val="000000"/>
          <w:sz w:val="20"/>
          <w:szCs w:val="20"/>
        </w:rPr>
        <w:t>c)  Si  se  aceptarán  tolerancias,  cuando  la  característica  de  la  contratación  lo requiera.</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No  se  deberán  formular  especificaciones  cuyo  cumplimiento  sólo  sea  factible  para determinadas empresas o productos.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Para   la   reparación   de   aparatos,   máquinas   o   motores   podrán   solicitarse   repuestos denominados legítimos.</w:t>
      </w:r>
    </w:p>
    <w:p>
      <w:pPr>
        <w:pStyle w:val="style0"/>
        <w:spacing w:after="0" w:before="0" w:line="276" w:lineRule="auto"/>
        <w:contextualSpacing w:val="false"/>
        <w:jc w:val="both"/>
      </w:pPr>
      <w:r>
        <w:rPr>
          <w:rFonts w:ascii="Tahoma" w:cs="Tahoma" w:hAnsi="Tahoma"/>
          <w:color w:val="000000"/>
          <w:sz w:val="20"/>
          <w:szCs w:val="20"/>
        </w:rPr>
      </w:r>
    </w:p>
    <w:p>
      <w:pPr>
        <w:pStyle w:val="style0"/>
        <w:spacing w:after="0" w:before="0" w:line="276" w:lineRule="auto"/>
        <w:contextualSpacing w:val="false"/>
        <w:jc w:val="both"/>
      </w:pPr>
      <w:r>
        <w:rPr>
          <w:rFonts w:ascii="Tahoma" w:cs="Tahoma" w:hAnsi="Tahoma"/>
          <w:color w:val="000000"/>
          <w:sz w:val="20"/>
          <w:szCs w:val="20"/>
        </w:rPr>
        <w:t>VIII)  Fijar  la  moneda  de  cotización,  en  los  casos  en  que  se  disponga  que  se  cotice  en moneda extranjera.</w:t>
      </w:r>
    </w:p>
    <w:p>
      <w:pPr>
        <w:pStyle w:val="style0"/>
        <w:spacing w:after="0" w:before="0" w:line="276" w:lineRule="auto"/>
        <w:contextualSpacing w:val="false"/>
        <w:jc w:val="both"/>
      </w:pPr>
      <w:r>
        <w:rPr>
          <w:rFonts w:ascii="Tahoma" w:cs="Tahoma" w:hAnsi="Tahoma"/>
          <w:color w:val="000000"/>
          <w:sz w:val="20"/>
          <w:szCs w:val="20"/>
        </w:rPr>
        <w:t>IX) Indicar la forma y el plazo de pago.</w:t>
      </w:r>
    </w:p>
    <w:p>
      <w:pPr>
        <w:pStyle w:val="style0"/>
        <w:spacing w:after="0" w:before="0" w:line="276" w:lineRule="auto"/>
        <w:contextualSpacing w:val="false"/>
        <w:jc w:val="both"/>
      </w:pPr>
      <w:r>
        <w:rPr>
          <w:rFonts w:ascii="Tahoma" w:cs="Tahoma" w:hAnsi="Tahoma"/>
          <w:color w:val="000000"/>
          <w:sz w:val="20"/>
          <w:szCs w:val="20"/>
        </w:rPr>
        <w:t>X)  Indicar si se exigirá la presentación de muestras.</w:t>
      </w:r>
    </w:p>
    <w:p>
      <w:pPr>
        <w:pStyle w:val="style0"/>
        <w:spacing w:after="0" w:before="0" w:line="276" w:lineRule="auto"/>
        <w:contextualSpacing w:val="false"/>
        <w:jc w:val="both"/>
      </w:pPr>
      <w:r>
        <w:rPr>
          <w:rFonts w:ascii="Tahoma" w:cs="Tahoma" w:hAnsi="Tahoma"/>
          <w:color w:val="000000"/>
          <w:sz w:val="20"/>
          <w:szCs w:val="20"/>
        </w:rPr>
        <w:t>XI)  Determinar  la  forma  de  constitución  de  garantía,  cuando  por  razones  fundadas  se establezca alguna/s en especial o se excluya/n alguna/s de las previstas en el Reglamento.</w:t>
      </w:r>
    </w:p>
    <w:p>
      <w:pPr>
        <w:pStyle w:val="style0"/>
        <w:spacing w:after="0" w:before="0" w:line="276" w:lineRule="auto"/>
        <w:contextualSpacing w:val="false"/>
        <w:jc w:val="both"/>
      </w:pPr>
      <w:r>
        <w:rPr>
          <w:rFonts w:ascii="Tahoma" w:cs="Tahoma" w:hAnsi="Tahoma"/>
          <w:color w:val="000000"/>
          <w:sz w:val="20"/>
          <w:szCs w:val="20"/>
        </w:rPr>
        <w:t>XII) Cuando se requiera más de un ejemplar de la propuesta, fijar la cantidad de copias que los oferentes deben presentar.</w:t>
      </w:r>
    </w:p>
    <w:p>
      <w:pPr>
        <w:pStyle w:val="style0"/>
        <w:spacing w:after="0" w:before="0" w:line="276" w:lineRule="auto"/>
        <w:contextualSpacing w:val="false"/>
        <w:jc w:val="both"/>
      </w:pPr>
      <w:r>
        <w:rPr>
          <w:rFonts w:ascii="Tahoma" w:cs="Tahoma" w:hAnsi="Tahoma"/>
          <w:color w:val="000000"/>
          <w:sz w:val="20"/>
          <w:szCs w:val="20"/>
        </w:rPr>
        <w:t>XIII) Cuando se admita formular ofertas alternativas, deberá consignarse expresamente.</w:t>
      </w:r>
    </w:p>
    <w:p>
      <w:pPr>
        <w:pStyle w:val="style0"/>
        <w:spacing w:line="276" w:lineRule="auto"/>
      </w:pPr>
      <w:r>
        <w:rPr>
          <w:rFonts w:ascii="Tahoma" w:cs="Tahoma" w:hAnsi="Tahoma"/>
          <w:color w:val="000000"/>
          <w:sz w:val="20"/>
          <w:szCs w:val="20"/>
        </w:rPr>
        <w:t>XIV)  Señalar  la  información  adicional  y  exigencias  que  deberán  cumplimentar  los oferentes.</w:t>
      </w:r>
    </w:p>
    <w:p>
      <w:pPr>
        <w:pStyle w:val="style0"/>
        <w:spacing w:line="276" w:lineRule="auto"/>
      </w:pPr>
      <w:r>
        <w:rPr/>
      </w:r>
    </w:p>
    <w:p>
      <w:pPr>
        <w:pStyle w:val="style0"/>
        <w:pageBreakBefore/>
        <w:spacing w:line="276" w:lineRule="auto"/>
        <w:ind w:firstLine="708" w:left="3540" w:right="0"/>
      </w:pPr>
      <w:r>
        <w:rPr/>
        <w:drawing>
          <wp:inline distB="0" distL="0" distR="0" distT="0">
            <wp:extent cx="504190" cy="68453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04190" cy="684530"/>
                    </a:xfrm>
                    <a:prstGeom prst="rect">
                      <a:avLst/>
                    </a:prstGeom>
                    <a:noFill/>
                    <a:ln w="9525">
                      <a:noFill/>
                      <a:miter lim="800000"/>
                      <a:headEnd/>
                      <a:tailEnd/>
                    </a:ln>
                  </pic:spPr>
                </pic:pic>
              </a:graphicData>
            </a:graphic>
          </wp:inline>
        </w:drawing>
      </w:r>
    </w:p>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t>PODER JUDICIAL DE TUCUMÁN</w:t>
      </w:r>
    </w:p>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u w:val="single"/>
        </w:rPr>
        <w:t>PLIEGO UNICO DE BASES Y CONDICIONES PARTICULARES</w:t>
      </w:r>
    </w:p>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u w:val="single"/>
        </w:rPr>
        <w:t>LICITACION  PUBLICA Nº 35/2021 - EXPEDIENTE Nº 320/52-2021</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1 - NOMBRE DEL ORGANISMO LICITANTE: </w:t>
      </w:r>
      <w:r>
        <w:rPr>
          <w:rFonts w:ascii="Tahoma" w:cs="Tahoma" w:eastAsia="Tahoma" w:hAnsi="Tahoma"/>
          <w:color w:val="000000"/>
          <w:sz w:val="20"/>
          <w:szCs w:val="20"/>
        </w:rPr>
        <w:t>Poder Judicial de Tucumán</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2 - OBJETO: "PROVISIÓN E INSTALACIÓN DE EQUIPOS DE AIRE ACONDICIONADO EN EL PALACIO DE JUSTICIA"</w:t>
      </w:r>
      <w:r>
        <w:rPr>
          <w:rFonts w:ascii="Tahoma" w:cs="Tahoma" w:eastAsia="Tahoma" w:hAnsi="Tahoma"/>
          <w:color w:val="000000"/>
          <w:sz w:val="20"/>
          <w:szCs w:val="20"/>
        </w:rPr>
        <w:t xml:space="preserve"> según el siguiente detalle, Anexo I - "Especificaciones técnicas y planos" y Anexo II - "Normas de higiene, seguridad y medio ambiente" que forman parte del presente pliego:</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tbl>
      <w:tblPr>
        <w:jc w:val="left"/>
        <w:tblBorders>
          <w:top w:color="000000" w:space="0" w:sz="2" w:val="single"/>
          <w:left w:color="000000" w:space="0" w:sz="2" w:val="single"/>
          <w:bottom w:color="000000" w:space="0" w:sz="2" w:val="single"/>
          <w:right w:color="000000" w:space="0" w:sz="4" w:val="single"/>
        </w:tblBorders>
      </w:tblPr>
      <w:tblGrid>
        <w:gridCol w:w="739"/>
        <w:gridCol w:w="7003"/>
        <w:gridCol w:w="1232"/>
      </w:tblGrid>
      <w:tr>
        <w:trPr>
          <w:cantSplit w:val="false"/>
        </w:trPr>
        <w:tc>
          <w:tcPr>
            <w:tcW w:type="dxa" w:w="739"/>
            <w:tcBorders>
              <w:top w:color="000000" w:space="0" w:sz="2" w:val="single"/>
              <w:left w:color="000000" w:space="0" w:sz="2" w:val="single"/>
              <w:bottom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t>ÍTEM</w:t>
            </w:r>
          </w:p>
        </w:tc>
        <w:tc>
          <w:tcPr>
            <w:tcW w:type="dxa" w:w="7003"/>
            <w:tcBorders>
              <w:top w:color="000000" w:space="0" w:sz="2" w:val="single"/>
              <w:left w:color="000000" w:space="0" w:sz="2" w:val="single"/>
              <w:bottom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t>DESCRIPCIÓN</w:t>
            </w:r>
          </w:p>
        </w:tc>
        <w:tc>
          <w:tcPr>
            <w:tcW w:type="dxa" w:w="1232"/>
            <w:tcBorders>
              <w:top w:color="000000" w:space="0" w:sz="2" w:val="single"/>
              <w:left w:color="000000" w:space="0" w:sz="2" w:val="single"/>
              <w:bottom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t>CANT</w:t>
            </w:r>
          </w:p>
        </w:tc>
      </w:tr>
      <w:tr>
        <w:trPr>
          <w:cantSplit w:val="false"/>
        </w:trPr>
        <w:tc>
          <w:tcPr>
            <w:tcW w:type="dxa" w:w="739"/>
            <w:tcBorders>
              <w:left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br/>
              <w:t>I</w:t>
            </w:r>
          </w:p>
        </w:tc>
        <w:tc>
          <w:tcPr>
            <w:tcW w:type="dxa" w:w="7003"/>
            <w:tcBorders>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I.1 - EQUIPO DE AIRE ACONDICIONADO DE 3000 FRIGORÍAS</w:t>
              <w:br/>
              <w:br/>
              <w:t>I.2 - INSTALACIÓN DE EQUIPO DE AIRE ACONDICIONADO DE 3000 FRIGORÍAS</w:t>
            </w:r>
          </w:p>
        </w:tc>
        <w:tc>
          <w:tcPr>
            <w:tcW w:type="dxa" w:w="1232"/>
            <w:tcBorders>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color w:val="000000"/>
                <w:sz w:val="20"/>
                <w:szCs w:val="20"/>
              </w:rPr>
              <w:br/>
              <w:t>15</w:t>
              <w:br/>
              <w:t>(quince)</w:t>
            </w:r>
          </w:p>
        </w:tc>
      </w:tr>
      <w:tr>
        <w:trPr>
          <w:cantSplit w:val="false"/>
        </w:trPr>
        <w:tc>
          <w:tcPr>
            <w:tcW w:type="dxa" w:w="739"/>
            <w:tcBorders>
              <w:top w:color="000000" w:space="0" w:sz="2" w:val="single"/>
              <w:left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br/>
              <w:t>II</w:t>
            </w:r>
          </w:p>
        </w:tc>
        <w:tc>
          <w:tcPr>
            <w:tcW w:type="dxa" w:w="7003"/>
            <w:tcBorders>
              <w:top w:color="000000" w:space="0" w:sz="2" w:val="single"/>
              <w:left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II.1 - EQUIPO DE AIRE ACONDICIONADO DE 4500 FRIGORÍAS</w:t>
              <w:br/>
              <w:br/>
              <w:t>II.2 - INSTALACIÓN DE EQUIPO DE AIRE ACONDICIONADO DE 4500 FRIGORÍAS</w:t>
            </w:r>
          </w:p>
        </w:tc>
        <w:tc>
          <w:tcPr>
            <w:tcW w:type="dxa" w:w="1232"/>
            <w:tcBorders>
              <w:top w:color="000000" w:space="0" w:sz="2" w:val="single"/>
              <w:left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color w:val="000000"/>
                <w:sz w:val="20"/>
                <w:szCs w:val="20"/>
              </w:rPr>
              <w:br/>
              <w:t>16</w:t>
              <w:br/>
              <w:t>(dieciséis)</w:t>
            </w:r>
          </w:p>
        </w:tc>
      </w:tr>
      <w:tr>
        <w:trPr>
          <w:cantSplit w:val="false"/>
        </w:trPr>
        <w:tc>
          <w:tcPr>
            <w:tcW w:type="dxa" w:w="739"/>
            <w:tcBorders>
              <w:top w:color="000000" w:space="0" w:sz="2" w:val="single"/>
              <w:left w:color="000000" w:space="0" w:sz="2" w:val="single"/>
              <w:bottom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b/>
                <w:bCs/>
                <w:color w:val="000000"/>
                <w:sz w:val="20"/>
                <w:szCs w:val="20"/>
              </w:rPr>
              <w:br/>
              <w:t>III</w:t>
            </w:r>
          </w:p>
        </w:tc>
        <w:tc>
          <w:tcPr>
            <w:tcW w:type="dxa" w:w="7003"/>
            <w:tcBorders>
              <w:top w:color="000000" w:space="0" w:sz="2" w:val="single"/>
              <w:left w:color="000000" w:space="0" w:sz="2" w:val="single"/>
              <w:bottom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III.1 - EQUIPO DE AIRE ACONDICIONADO DE 5500 FRIGORÍAS</w:t>
              <w:br/>
              <w:br/>
              <w:t>III.2 - INSTALACIÓN DE EQUIPO DE AIRE ACONDICIONADO DE 5500 FRIGORÍAS</w:t>
            </w:r>
          </w:p>
        </w:tc>
        <w:tc>
          <w:tcPr>
            <w:tcW w:type="dxa" w:w="1232"/>
            <w:tcBorders>
              <w:top w:color="000000" w:space="0" w:sz="2" w:val="single"/>
              <w:left w:color="000000" w:space="0" w:sz="2" w:val="single"/>
              <w:bottom w:color="000000" w:space="0" w:sz="2" w:val="single"/>
              <w:right w:color="000000" w:space="0" w:sz="4" w:val="single"/>
            </w:tcBorders>
            <w:shd w:fill="auto" w:val="clear"/>
            <w:tcMar>
              <w:top w:type="dxa" w:w="0"/>
              <w:left w:type="dxa" w:w="0"/>
              <w:bottom w:type="dxa" w:w="0"/>
              <w:right w:type="dxa" w:w="0"/>
            </w:tcMar>
          </w:tcPr>
          <w:p>
            <w:pPr>
              <w:pStyle w:val="style0"/>
              <w:autoSpaceDE w:val="false"/>
              <w:spacing w:after="0" w:before="0" w:line="240" w:lineRule="atLeast"/>
              <w:ind w:hanging="0" w:left="0" w:right="0"/>
              <w:contextualSpacing w:val="false"/>
              <w:jc w:val="center"/>
            </w:pPr>
            <w:r>
              <w:rPr>
                <w:rFonts w:ascii="Tahoma" w:cs="Tahoma" w:eastAsia="Tahoma" w:hAnsi="Tahoma"/>
                <w:color w:val="000000"/>
                <w:sz w:val="20"/>
                <w:szCs w:val="20"/>
              </w:rPr>
              <w:br/>
              <w:t>4</w:t>
              <w:br/>
              <w:t>(cuatro)</w:t>
            </w:r>
          </w:p>
        </w:tc>
      </w:tr>
    </w:tbl>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(Deberán expresarse en la oferta, para cada ítem, por separado el precio del equipo y de la instalación)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MARCA: </w:t>
      </w:r>
      <w:r>
        <w:rPr>
          <w:rFonts w:ascii="Tahoma" w:cs="Tahoma" w:eastAsia="Tahoma" w:hAnsi="Tahoma"/>
          <w:color w:val="000000"/>
          <w:sz w:val="20"/>
          <w:szCs w:val="20"/>
        </w:rPr>
        <w:t>Los bienes ofrecidos deberán ser de marca reconocida en el mercado, debiendo consignar la misma en la oferta. Asimismo la marca ofrecida deberá contar con Service Oficial en la Provincia de Tucumán, a efectos de garantizar el servicio técnico y el suministro de repuestos, debiendo informar el mismo en la oferta.</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GARANTIA: </w:t>
      </w:r>
      <w:r>
        <w:rPr>
          <w:rFonts w:ascii="Tahoma" w:cs="Tahoma" w:eastAsia="Tahoma" w:hAnsi="Tahoma"/>
          <w:color w:val="000000"/>
          <w:sz w:val="20"/>
          <w:szCs w:val="20"/>
        </w:rPr>
        <w:t>Independientemente de la garantía de fábrica para los equipos, los oferentes garantizarán el buen funcionamiento del equipo por el término de seis (6) meses como mínimo a partir de la fecha de recepción del mismo, responsabilizándose por cualquier vicio oculto, aún cuando se hubiera prestado conformidad formal en el acto de recepción, siendo su obligación el reemplazo del material defectuoso.</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3 - COMPUTOS DE PLAZOS: </w:t>
      </w:r>
      <w:r>
        <w:rPr>
          <w:rFonts w:ascii="Tahoma" w:cs="Tahoma" w:eastAsia="Tahoma" w:hAnsi="Tahoma"/>
          <w:color w:val="000000"/>
          <w:sz w:val="20"/>
          <w:szCs w:val="20"/>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4 - RETIRO DEL PLIEGO: </w:t>
      </w:r>
      <w:r>
        <w:rPr>
          <w:rFonts w:ascii="Tahoma" w:cs="Tahoma" w:eastAsia="Tahoma" w:hAnsi="Tahoma"/>
          <w:color w:val="000000"/>
          <w:sz w:val="20"/>
          <w:szCs w:val="20"/>
        </w:rPr>
        <w:t xml:space="preserve">El pliego es gratuito y podrá retirarse hasta el día </w:t>
      </w:r>
      <w:r>
        <w:rPr>
          <w:rFonts w:ascii="Tahoma" w:cs="Tahoma" w:eastAsia="Tahoma" w:hAnsi="Tahoma"/>
          <w:b/>
          <w:bCs/>
          <w:color w:val="000000"/>
          <w:sz w:val="20"/>
          <w:szCs w:val="20"/>
          <w:u w:val="single"/>
        </w:rPr>
        <w:t>16/02/2022</w:t>
      </w:r>
      <w:r>
        <w:rPr>
          <w:rFonts w:ascii="Tahoma" w:cs="Tahoma" w:eastAsia="Tahoma" w:hAnsi="Tahoma"/>
          <w:color w:val="000000"/>
          <w:sz w:val="20"/>
          <w:szCs w:val="20"/>
        </w:rPr>
        <w:t xml:space="preserve"> en Secretaría Administrativa de la Excma. Corte, sita en 3er. piso del Palacio de Justicia (Pje. Vélez Sársfield 450, S. M. de Tucumán) o podrá obtenerse desde internet en los siguientes enlaces: </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a) Portal Web Oficial de la Provincia</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http://rig.tucuman.gov.ar/obras_publicas/compras_2009/ver_llamados_compras_avanzado.php</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b) Portal Web Oficial del Poder Judicial de Tucumán: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https://www.justucuman.gov.ar/blogs/licitaciones-publicas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5 - LUGAR DE PRESENTACION DE PROPUESTAS:</w:t>
      </w:r>
      <w:r>
        <w:rPr>
          <w:rFonts w:ascii="Tahoma" w:cs="Tahoma" w:eastAsia="Tahoma" w:hAnsi="Tahoma"/>
          <w:color w:val="000000"/>
          <w:sz w:val="20"/>
          <w:szCs w:val="20"/>
        </w:rPr>
        <w:t xml:space="preserve"> Las ofertas deberán presentarse en Secretaría Administrativa de la Excma. Corte, sita en 3er. piso del Palacio de Justicia (Pje. Vélez Sársfield 450, S. M. de Tucumán), </w:t>
      </w:r>
      <w:r>
        <w:rPr>
          <w:rFonts w:ascii="Tahoma" w:cs="Tahoma" w:eastAsia="Tahoma" w:hAnsi="Tahoma"/>
          <w:b/>
          <w:bCs/>
          <w:color w:val="000000"/>
          <w:sz w:val="22"/>
          <w:szCs w:val="22"/>
        </w:rPr>
        <w:t xml:space="preserve">hasta las </w:t>
      </w:r>
      <w:r>
        <w:rPr>
          <w:rFonts w:ascii="Tahoma" w:cs="Tahoma" w:eastAsia="Tahoma" w:hAnsi="Tahoma"/>
          <w:b/>
          <w:bCs/>
          <w:color w:val="000000"/>
          <w:sz w:val="48"/>
          <w:szCs w:val="48"/>
        </w:rPr>
        <w:t xml:space="preserve">10:00 horas del día </w:t>
      </w:r>
      <w:r>
        <w:rPr>
          <w:rFonts w:ascii="Tahoma" w:cs="Tahoma" w:eastAsia="Tahoma" w:hAnsi="Tahoma"/>
          <w:b/>
          <w:bCs/>
          <w:color w:val="000000"/>
          <w:sz w:val="48"/>
          <w:szCs w:val="48"/>
          <w:u w:val="single"/>
        </w:rPr>
        <w:t>21/02/2022</w:t>
      </w:r>
      <w:r>
        <w:rPr>
          <w:rFonts w:ascii="Tahoma" w:cs="Tahoma" w:eastAsia="Tahoma" w:hAnsi="Tahoma"/>
          <w:b/>
          <w:bCs/>
          <w:color w:val="000000"/>
          <w:sz w:val="22"/>
          <w:szCs w:val="22"/>
        </w:rPr>
        <w:t xml:space="preserve"> indefectiblemente.</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2"/>
          <w:szCs w:val="22"/>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6 - ACEPTACIÓN</w:t>
      </w:r>
      <w:r>
        <w:rPr>
          <w:rFonts w:ascii="Tahoma" w:cs="Tahoma" w:eastAsia="Tahoma" w:hAnsi="Tahoma"/>
          <w:color w:val="000000"/>
          <w:sz w:val="20"/>
          <w:szCs w:val="20"/>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al contratante según lo previsto en el presente, corriendo por lo tanto bajo su exclusiva responsabilidad los perjuicios que pudieren derivarse de la inobservancia de la presente disposición.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Por el solo hecho de presentar una propuesta, el oferente declara conocer y aceptar el contenido de los pliegos de condiciones generales, particulares y anexos correspondientes.</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7 - LUGAR Y ACTO DE APERTURA:</w:t>
      </w:r>
      <w:r>
        <w:rPr>
          <w:rFonts w:ascii="Tahoma" w:cs="Tahoma" w:eastAsia="Tahoma" w:hAnsi="Tahoma"/>
          <w:color w:val="000000"/>
          <w:sz w:val="20"/>
          <w:szCs w:val="20"/>
        </w:rPr>
        <w:t xml:space="preserve"> Las propuestas se abrirán en lugar y día indicados en el Art. 5 y con las formalidades que establecen los artículos 35 al 40 del Reglamento de compras y Contrataciones de Bienes y Servicios del Estado Provincial (Dcto. Acdo. 22/1). 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 </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8 - PRESENTACION DE LA OFERTA BASICA U OBLIGATORIA:</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Adicionalmente a lo establecido en los art. 4, 5, 6, 7 y 8 del Pliego Único de Bases y Condiciones Generales, las ofertas básicas u obligatorias para éste proceso licitatorio deberán ajustarse a los siguientes requisitos: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a) Modalidad de Cotización: Deberán cotizarse todos los ITEMS previstos. La adjudicación será global.</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b) Moneda de Cotización: En pesos ($), no aceptándose cotizaciones en moneda extranjera.</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c) La propuesta se efectuará con "I.V.A. incluido" dado el carácter de consumidor final del Poder Judicial.</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d) Sin cláusula de ajuste de precios.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e) Deberán presentar copia de constancias de inscripción impositivas ante la AFIP y D.G.R. El Poder Judicial de Tucumán es agente de retención en el Impuesto a las Ganancias, SUSS, IVA, Impuesto a los Ingresos Brutos y Tributo de Económico Municipal. En caso de no estar alcanzado, revestir el carácter de exentos o no sujetos a retención en alguno de los tributos citados, deberá adjuntar copia de la documentación que avale esa condición.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f) Queda expresamente establecido que los oferentes deberán cotizar la provisión solicitada de modo que resulte ADECUADA a las especificaciones, requisitos y demás recaudos contenidos en los instrumentos que rigen esta licitación, y aún cuando no se enuncien todos los elementos precisos al respecto, su satisfacción no dará lugar a reconocimiento especial bajo ningún concepto.</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09 - FORMULACION DE OFERTAS ALTERNATIVAS: </w:t>
      </w:r>
      <w:r>
        <w:rPr>
          <w:rFonts w:ascii="Tahoma" w:cs="Tahoma" w:eastAsia="Tahoma" w:hAnsi="Tahoma"/>
          <w:color w:val="000000"/>
          <w:sz w:val="20"/>
          <w:szCs w:val="20"/>
        </w:rPr>
        <w:t>NO SE ACEPTARAN.-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10 - VISITA PREVIA: </w:t>
      </w:r>
      <w:r>
        <w:rPr>
          <w:rFonts w:ascii="Tahoma" w:cs="Tahoma" w:eastAsia="Tahoma" w:hAnsi="Tahoma"/>
          <w:color w:val="000000"/>
          <w:sz w:val="20"/>
          <w:szCs w:val="20"/>
        </w:rPr>
        <w:t>El oferente deberá recorrer los lugares de trabajos, quedando a su cargo, haber reconocido previamente los lugares y tomado conocimiento de todos los trabajos y condiciones en que se desarrollaran, hasta su total terminación y no podrá  efectuar reclamo alguno posterior, alegando desconocimiento de dichas condiciones.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El Departamento Electromecánico y Climatización de la Dirección Técnica del Poder Judicial, realizará la guía de visita y emitirá la Constancia correspondiente, la cual deberá presentarse en su oferta.</w:t>
      </w:r>
    </w:p>
    <w:p>
      <w:pPr>
        <w:pStyle w:val="style0"/>
        <w:autoSpaceDE w:val="false"/>
        <w:spacing w:after="200" w:before="0" w:line="240" w:lineRule="atLeast"/>
        <w:ind w:firstLine="1418"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11 - GARANTIAS: </w:t>
      </w:r>
      <w:r>
        <w:rPr>
          <w:rFonts w:ascii="Tahoma" w:cs="Tahoma" w:eastAsia="Tahoma" w:hAnsi="Tahoma"/>
          <w:color w:val="000000"/>
          <w:sz w:val="20"/>
          <w:szCs w:val="20"/>
        </w:rPr>
        <w:t xml:space="preserve">Las garantías aludidas en el Art. 10 del PBCG deberán constituirse a favor del </w:t>
      </w:r>
      <w:r>
        <w:rPr>
          <w:rFonts w:ascii="Tahoma" w:cs="Tahoma" w:eastAsia="Tahoma" w:hAnsi="Tahoma"/>
          <w:color w:val="000000"/>
          <w:sz w:val="20"/>
          <w:szCs w:val="20"/>
          <w:u w:val="single"/>
        </w:rPr>
        <w:t>PODER JUDICIAL DE TUCUMAN</w:t>
      </w:r>
      <w:r>
        <w:rPr>
          <w:rFonts w:ascii="Tahoma" w:cs="Tahoma" w:eastAsia="Tahoma" w:hAnsi="Tahoma"/>
          <w:color w:val="000000"/>
          <w:sz w:val="20"/>
          <w:szCs w:val="20"/>
        </w:rPr>
        <w:t>.</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En caso de constitución de la garantía prevista en el art. 10 inc. a) del citado Pliego, deberá realizarse mediante depósito bancario en la cuenta corriente Nº 3-622-0020000648-0, CBU 2850622330002000064805, del Banco Macro S.A. - Sucursal Tribunales.</w:t>
      </w:r>
    </w:p>
    <w:p>
      <w:pPr>
        <w:pStyle w:val="style0"/>
        <w:autoSpaceDE w:val="false"/>
        <w:spacing w:after="0" w:before="10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100" w:line="240" w:lineRule="atLeast"/>
        <w:ind w:hanging="0" w:left="0" w:right="0"/>
        <w:contextualSpacing w:val="false"/>
        <w:jc w:val="both"/>
      </w:pPr>
      <w:r>
        <w:rPr>
          <w:rFonts w:ascii="Tahoma" w:cs="Tahoma" w:eastAsia="Tahoma" w:hAnsi="Tahoma"/>
          <w:b/>
          <w:bCs/>
          <w:color w:val="000000"/>
          <w:sz w:val="20"/>
          <w:szCs w:val="20"/>
        </w:rPr>
        <w:t xml:space="preserve">ART. 12 - PLAZO DE MANTENIMIENTO DE LAS PROPUESTAS:   </w:t>
      </w:r>
      <w:r>
        <w:rPr>
          <w:rFonts w:ascii="Tahoma" w:cs="Tahoma" w:eastAsia="Tahoma" w:hAnsi="Tahoma"/>
          <w:color w:val="000000"/>
          <w:sz w:val="20"/>
          <w:szCs w:val="20"/>
        </w:rPr>
        <w:t>Los precios que se coticen deberán mantener un duración mínima de cuarenta y cinco días (45) días hábiles judiciales, contados a partir de la fecha del acto de apertura, a fin de posibilitar los estudios analíticos y evaluatorios de las propuestas. La obligación de mantener y garantizar la oferta se renovara automáticamente por periodos de treinta (30) días hábiles, si el oferente no hiciere saber expresamente su decisión de desistir de la misma con por lo menos diez (10) días hábiles de antelación al vencimiento del periodo determinado. El incumplimiento de mantener la oferta durante el plazo inicial y sus prorrogas consentidas, es causal de la perdida de la garantía.</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13 - OFERTAS PRESENTADAS - PRECISIONES, ACLARACIONES, ETC: </w:t>
      </w:r>
      <w:r>
        <w:rPr>
          <w:rFonts w:ascii="Tahoma" w:cs="Tahoma" w:eastAsia="Tahoma" w:hAnsi="Tahoma"/>
          <w:color w:val="000000"/>
          <w:sz w:val="20"/>
          <w:szCs w:val="20"/>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14 - ANTECEDENTES:</w:t>
      </w:r>
      <w:r>
        <w:rPr>
          <w:rFonts w:ascii="Tahoma" w:cs="Tahoma" w:eastAsia="Tahoma" w:hAnsi="Tahoma"/>
          <w:color w:val="000000"/>
          <w:sz w:val="20"/>
          <w:szCs w:val="20"/>
        </w:rPr>
        <w:t xml:space="preserve"> El oferente deberá adjuntar nota en carácter de Declaración Jurada en la que se manifieste  expresamente que posee capacidad legal para contratar y que no se encuentra alcanzada por las causales previstas en el art.108 de Dcto. Ac.22/1.-</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15- PLAZO, LUGAR Y FORMA DE ENTREGA DE LOS BIENES:</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PLAZO: </w:t>
      </w:r>
      <w:r>
        <w:rPr>
          <w:rFonts w:ascii="Tahoma" w:cs="Tahoma" w:eastAsia="Tahoma" w:hAnsi="Tahoma"/>
          <w:color w:val="000000"/>
          <w:sz w:val="20"/>
          <w:szCs w:val="20"/>
        </w:rPr>
        <w:t>Para completar la provisión, el adjudicatario dispondrá de 60 (sesenta) días corridos como plazo máximo, a contar desde la formalización del contrato, el cual se configura al recibir la orden de compra respectiva. El oferente podrá reducir dicho plazo en su propuesta, pero no ampliarlo.</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La falta de entrega de la provisión adjudicada en el plazo máximo estipulado en el presente artículo, dará lugar a la mora automática sin necesidad de emplazamiento judicial o extrajudicial alguno.</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LUGAR: </w:t>
      </w:r>
      <w:r>
        <w:rPr>
          <w:rFonts w:ascii="Tahoma" w:cs="Tahoma" w:eastAsia="Tahoma" w:hAnsi="Tahoma"/>
          <w:color w:val="000000"/>
          <w:sz w:val="20"/>
          <w:szCs w:val="20"/>
        </w:rPr>
        <w:t>La instalación de los equipos se realizará en el Palacio de Justicia ubicado en Pje. Vélez Sarsfield nº 450, San Miguel de Tucumán.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El flete, acarreo, descarga, impuestos y todos los gastos necesarios para entregarlos en los lugares indicados, estarán a cargo exclusivo del adjudicatario.</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tabs>
          <w:tab w:leader="none" w:pos="360" w:val="left"/>
          <w:tab w:leader="none" w:pos="630" w:val="left"/>
        </w:tabs>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16 – RECEPCIÓN Y CONTRALORÍA: </w:t>
      </w:r>
      <w:r>
        <w:rPr>
          <w:rFonts w:ascii="Tahoma" w:cs="Tahoma" w:eastAsia="Tahoma" w:hAnsi="Tahoma"/>
          <w:b w:val="false"/>
          <w:bCs w:val="false"/>
          <w:color w:val="000000"/>
          <w:sz w:val="20"/>
          <w:szCs w:val="20"/>
        </w:rPr>
        <w:t>La Dirección Técnica Ejecutiva serán responsables de analizar el ajuste de la provisión a lo solicitado, en forma previa a prestar conformidad.</w:t>
      </w:r>
    </w:p>
    <w:p>
      <w:pPr>
        <w:pStyle w:val="style0"/>
        <w:tabs>
          <w:tab w:leader="none" w:pos="360" w:val="left"/>
          <w:tab w:leader="none" w:pos="630" w:val="left"/>
        </w:tabs>
        <w:autoSpaceDE w:val="false"/>
        <w:spacing w:after="0" w:before="0" w:line="240" w:lineRule="atLeast"/>
        <w:ind w:hanging="0" w:left="0" w:right="0"/>
        <w:contextualSpacing w:val="false"/>
        <w:jc w:val="both"/>
      </w:pPr>
      <w:r>
        <w:rPr>
          <w:rFonts w:ascii="Tahoma" w:cs="Tahoma" w:eastAsia="Tahoma" w:hAnsi="Tahoma"/>
          <w:b w:val="false"/>
          <w:bCs w:val="false"/>
          <w:color w:val="000000"/>
          <w:sz w:val="20"/>
          <w:szCs w:val="20"/>
        </w:rPr>
        <w:t>A los fines de proceder a la prueba y recepción provisoria de los bienes adjudicados, la provisión e instalación deberá efectuarse en las oficinas detalladas en cada ítem y coordinarse con la Dirección Técnica del Poder Judicial</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17 - PRESENTACION Y CONFORMIDAD DE LAS FACTURAS: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 xml:space="preserve">Las facturas deberán emitirse a nombre del Poder Judicial de Tucumán, a consumidor final IVA incluido, adjuntando la/s órdenes de compra con el respectivo sellado de Ley, si correspondiere, debiendo ser presentadas en la Secretaría Administrativa del Poder Judicial. </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Las facturas que presenten los proveedores serán conformadas dentro de los 2 (dos)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Si las facturas se presentaren en las oficinas o locales en que se hubieran entregado los elementos, los responsables las remitirán de manera inmediata al servicio administrativo, debiendo dejarse constancia de la fecha de recepción en las mismas.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En caso de rechazo u observación de los bienes o servicios entregados, las facturas presentadas serán devueltas sin más trámites o retenidas, hasta la regularización de las deficiencias advertidas, según el caso.</w:t>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 xml:space="preserve">ART. 18 - FORMA Y PLAZO DE PAGO: </w:t>
      </w:r>
      <w:r>
        <w:rPr>
          <w:rFonts w:ascii="Tahoma" w:cs="Tahoma" w:eastAsia="Tahoma" w:hAnsi="Tahoma"/>
          <w:color w:val="000000"/>
          <w:sz w:val="20"/>
          <w:szCs w:val="20"/>
        </w:rPr>
        <w:t>Las provisiones que se adjudiquen y sean cumplimentadas en tiempo y forma y a total satisfacción del Poder Judicial, serán abonadas mensualmente en proporción al avance del servicio realizado y conforme informe que elabore la contraloría.</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El servicio se abonarán dentro de los 7 (siete) días siguientes de recepcionada la factura. El pago tendrá, en caso que corresponda, Retención a los Ingresos Brutos y Tributo Económico Municipal (TEM), por ser el Poder Judicial de Tucumán Agente de Retención de los mencionados impuestos.</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b/>
          <w:bCs/>
          <w:color w:val="000000"/>
          <w:sz w:val="20"/>
          <w:szCs w:val="20"/>
        </w:rPr>
        <w:t>ART. 19 - CERTIFICADO DE LIBRE DEUDA:</w:t>
      </w:r>
      <w:r>
        <w:rPr>
          <w:rFonts w:ascii="Tahoma" w:cs="Tahoma" w:eastAsia="Tahoma" w:hAnsi="Tahoma"/>
          <w:color w:val="000000"/>
          <w:sz w:val="20"/>
          <w:szCs w:val="20"/>
        </w:rPr>
        <w:t xml:space="preserve"> Sin perjuicio de lo estipulado en el Art. 6 inc. 7 del PBCG, se exigirá a los oferentes, previo a la adjudicación y en caso de encontrarse vencido, presenten el certificado de libre deuda extendido por la DGR de la provincia con fecha válida.</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pageBreakBefore/>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hAnsi="Tahoma"/>
          <w:sz w:val="20"/>
        </w:rPr>
      </w:r>
    </w:p>
    <w:p>
      <w:pPr>
        <w:pStyle w:val="style23"/>
        <w:spacing w:after="240" w:before="0"/>
        <w:contextualSpacing w:val="false"/>
      </w:pPr>
      <w:r>
        <w:rPr>
          <w:rFonts w:ascii="Tahoma" w:cs="Tahoma" w:hAnsi="Tahoma"/>
          <w:sz w:val="24"/>
          <w:szCs w:val="24"/>
        </w:rPr>
        <w:t>LICITACIÓN PÚBLICA Nº 35/2021</w:t>
      </w:r>
    </w:p>
    <w:p>
      <w:pPr>
        <w:pStyle w:val="style23"/>
        <w:spacing w:after="240" w:before="0"/>
        <w:contextualSpacing w:val="false"/>
      </w:pPr>
      <w:r>
        <w:rPr>
          <w:rFonts w:ascii="Tahoma" w:cs="Tahoma" w:hAnsi="Tahoma"/>
          <w:sz w:val="24"/>
          <w:szCs w:val="24"/>
        </w:rPr>
        <w:t>P.B.C.P. – ANEXO II</w:t>
      </w:r>
    </w:p>
    <w:p>
      <w:pPr>
        <w:pStyle w:val="style23"/>
        <w:pBdr>
          <w:bottom w:color="000000" w:space="0" w:sz="6" w:val="single"/>
        </w:pBdr>
        <w:autoSpaceDE w:val="false"/>
        <w:spacing w:after="240" w:before="0" w:line="240" w:lineRule="atLeast"/>
        <w:ind w:hanging="0" w:left="0" w:right="0"/>
        <w:contextualSpacing w:val="false"/>
        <w:jc w:val="both"/>
      </w:pPr>
      <w:r>
        <w:rPr>
          <w:rFonts w:ascii="Tahoma" w:cs="Tahoma" w:eastAsia="Tahoma" w:hAnsi="Tahoma"/>
          <w:color w:val="000000"/>
          <w:sz w:val="24"/>
          <w:szCs w:val="24"/>
        </w:rPr>
        <w:t>“</w:t>
      </w:r>
      <w:r>
        <w:rPr>
          <w:rFonts w:ascii="Tahoma" w:cs="Tahoma" w:eastAsia="Tahoma" w:hAnsi="Tahoma"/>
          <w:color w:val="000000"/>
          <w:sz w:val="24"/>
          <w:szCs w:val="24"/>
        </w:rPr>
        <w:t>NORMAS DE HIGIENE, SEGURIDAD Y MEDIO AMBIENTE”</w:t>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40" w:lineRule="atLeast"/>
        <w:ind w:hanging="0" w:left="0" w:right="0"/>
        <w:contextualSpacing w:val="false"/>
        <w:jc w:val="both"/>
      </w:pPr>
      <w:r>
        <w:rPr>
          <w:rFonts w:ascii="Tahoma" w:cs="Tahoma" w:eastAsia="Tahoma" w:hAnsi="Tahoma"/>
          <w:color w:val="000000"/>
          <w:sz w:val="20"/>
          <w:szCs w:val="20"/>
        </w:rPr>
        <w:t>Link para descarga del Anexo II: https://1drv.ms/w/s!AruT6SagawojgS2X6vsX0d0jSWxm?e=eLrzUn</w:t>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Fonts w:ascii="Tahoma" w:cs="Tahoma" w:eastAsia="Tahoma" w:hAnsi="Tahoma"/>
          <w:color w:val="000000"/>
          <w:sz w:val="20"/>
          <w:szCs w:val="20"/>
        </w:rPr>
      </w:r>
    </w:p>
    <w:p>
      <w:pPr>
        <w:pStyle w:val="style0"/>
        <w:autoSpaceDE w:val="false"/>
        <w:spacing w:after="0" w:before="0" w:line="288" w:lineRule="atLeast"/>
        <w:ind w:hanging="0" w:left="0" w:right="0"/>
        <w:contextualSpacing w:val="false"/>
        <w:jc w:val="both"/>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terminado"/>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s-ES"/>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Lucida Sans"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Lucida Sans"/>
    </w:rPr>
  </w:style>
  <w:style w:styleId="style19" w:type="paragraph">
    <w:name w:val="Etiqueta"/>
    <w:basedOn w:val="style0"/>
    <w:next w:val="style19"/>
    <w:pPr>
      <w:suppressLineNumbers/>
      <w:spacing w:after="120" w:before="120"/>
      <w:contextualSpacing w:val="false"/>
    </w:pPr>
    <w:rPr>
      <w:rFonts w:cs="Lucida Sans"/>
      <w:i/>
      <w:iCs/>
      <w:sz w:val="24"/>
      <w:szCs w:val="24"/>
    </w:rPr>
  </w:style>
  <w:style w:styleId="style20" w:type="paragraph">
    <w:name w:val="Índice"/>
    <w:basedOn w:val="style0"/>
    <w:next w:val="style20"/>
    <w:pPr>
      <w:suppressLineNumbers/>
    </w:pPr>
    <w:rPr>
      <w:rFonts w:cs="Lucida Sans"/>
    </w:rPr>
  </w:style>
  <w:style w:styleId="style21" w:type="paragraph">
    <w:name w:val="Contenido de la tabla"/>
    <w:basedOn w:val="style0"/>
    <w:next w:val="style21"/>
    <w:pPr>
      <w:suppressLineNumbers/>
    </w:pPr>
    <w:rPr/>
  </w:style>
  <w:style w:styleId="style22" w:type="paragraph">
    <w:name w:val="Encabezado de la tabla"/>
    <w:basedOn w:val="style21"/>
    <w:next w:val="style22"/>
    <w:pPr>
      <w:suppressLineNumbers/>
      <w:jc w:val="center"/>
    </w:pPr>
    <w:rPr>
      <w:b/>
      <w:bCs/>
    </w:rPr>
  </w:style>
  <w:style w:styleId="style23" w:type="paragraph">
    <w:name w:val="Texto independiente 2"/>
    <w:basedOn w:val="style0"/>
    <w:next w:val="style23"/>
    <w:pPr>
      <w:jc w:val="center"/>
    </w:pPr>
    <w:rPr>
      <w:b/>
      <w:sz w:val="40"/>
    </w:rPr>
  </w:style>
  <w:style w:styleId="style24" w:type="paragraph">
    <w:name w:val="Pie de página"/>
    <w:basedOn w:val="style0"/>
    <w:next w:val="style24"/>
    <w:pPr>
      <w:tabs>
        <w:tab w:leader="none" w:pos="4419" w:val="center"/>
        <w:tab w:leader="none" w:pos="88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image" Target="media/image4.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2020-10-20T13:24:00.00Z</dcterms:created>
  <dc:creator>andres omar huespe</dc:creator>
  <cp:lastModifiedBy>Andres Huespe</cp:lastModifiedBy>
  <dcterms:modified xsi:type="dcterms:W3CDTF">2021-12-03T12:35:00.00Z</dcterms:modified>
  <cp:revision>4</cp:revision>
</cp:coreProperties>
</file>